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7FB364" w14:textId="6C8D78F3" w:rsidR="00901837" w:rsidRPr="00A033C2" w:rsidRDefault="00B55676" w:rsidP="00901837">
      <w:pPr>
        <w:pStyle w:val="A-Dachzeile"/>
        <w:rPr>
          <w:rFonts w:cs="Arial"/>
        </w:rPr>
      </w:pPr>
      <w:r>
        <w:rPr>
          <w:rFonts w:cs="Arial"/>
        </w:rPr>
        <w:t xml:space="preserve">Download-Dokument | </w:t>
      </w:r>
      <w:r w:rsidR="0087647C">
        <w:rPr>
          <w:rFonts w:cs="Arial"/>
        </w:rPr>
        <w:t>Quelle</w:t>
      </w:r>
      <w:r w:rsidR="00901837" w:rsidRPr="00A033C2">
        <w:rPr>
          <w:rFonts w:cs="Arial"/>
        </w:rPr>
        <w:t xml:space="preserve">: </w:t>
      </w:r>
      <w:r w:rsidR="00DB4564">
        <w:rPr>
          <w:rFonts w:cs="Arial"/>
        </w:rPr>
        <w:t xml:space="preserve">iww.de/pp, Abruf-Nr. </w:t>
      </w:r>
      <w:r w:rsidR="00DB4564" w:rsidRPr="00DB4564">
        <w:rPr>
          <w:rFonts w:cs="Arial"/>
        </w:rPr>
        <w:t>49223680</w:t>
      </w:r>
      <w:r w:rsidR="00D50636">
        <w:rPr>
          <w:rFonts w:cs="Arial"/>
        </w:rPr>
        <w:t xml:space="preserve"> </w:t>
      </w:r>
    </w:p>
    <w:p w14:paraId="0511E929" w14:textId="732A39BD" w:rsidR="00901837" w:rsidRPr="00A033C2" w:rsidRDefault="00D50636" w:rsidP="00A033C2">
      <w:pPr>
        <w:pStyle w:val="A-berschriftgro"/>
        <w:rPr>
          <w:rFonts w:ascii="Arial" w:hAnsi="Arial" w:cs="Arial"/>
        </w:rPr>
      </w:pPr>
      <w:r>
        <w:rPr>
          <w:rFonts w:ascii="Arial" w:hAnsi="Arial" w:cs="Arial"/>
        </w:rPr>
        <w:t>Arztbesuch während der Arbeitszeit</w:t>
      </w:r>
      <w:r w:rsidR="00581FEE">
        <w:rPr>
          <w:rFonts w:ascii="Arial" w:hAnsi="Arial" w:cs="Arial"/>
        </w:rPr>
        <w:t xml:space="preserve"> – ein Faktencheck</w:t>
      </w:r>
    </w:p>
    <w:p w14:paraId="1B2A77AE" w14:textId="77777777" w:rsidR="00901837" w:rsidRPr="00A033C2" w:rsidRDefault="00901837" w:rsidP="00901837">
      <w:pPr>
        <w:pStyle w:val="A-Grundtext"/>
      </w:pPr>
    </w:p>
    <w:p w14:paraId="473E0103" w14:textId="77777777" w:rsidR="00453096" w:rsidRPr="00A033C2" w:rsidRDefault="00453096" w:rsidP="00901837">
      <w:pPr>
        <w:pStyle w:val="A-Grundtext"/>
      </w:pPr>
    </w:p>
    <w:p w14:paraId="30B9AFC6" w14:textId="278BFFC4" w:rsidR="00901837" w:rsidRPr="00A033C2" w:rsidRDefault="00D50636" w:rsidP="00901837">
      <w:pPr>
        <w:pStyle w:val="A-berschriftklein"/>
        <w:rPr>
          <w:caps/>
        </w:rPr>
      </w:pPr>
      <w:r>
        <w:rPr>
          <w:caps/>
        </w:rPr>
        <w:t>Das sind die Fakten beim Arztbesuch</w:t>
      </w:r>
    </w:p>
    <w:p w14:paraId="5E99170B" w14:textId="77777777" w:rsidR="00901837" w:rsidRPr="00A033C2" w:rsidRDefault="00901837" w:rsidP="00A033C2">
      <w:pPr>
        <w:pStyle w:val="A-Grundtext"/>
      </w:pPr>
    </w:p>
    <w:p w14:paraId="1372FC83" w14:textId="10657AD5" w:rsidR="00D50636" w:rsidRDefault="00D50636" w:rsidP="00D50636">
      <w:pPr>
        <w:pStyle w:val="A-Grundtext"/>
        <w:numPr>
          <w:ilvl w:val="0"/>
          <w:numId w:val="5"/>
        </w:numPr>
      </w:pPr>
      <w:r>
        <w:t xml:space="preserve">Arztbesuche, die der Gesundheitsvorsorge dienen und keinen akuten Anlass haben: Diese Arzttermine gelten als Privatsache. Aus diesem Grund sollten Beschäftigte dann nicht während der Arbeitszeit zur Ärztin oder zum Arzt gehen. </w:t>
      </w:r>
    </w:p>
    <w:p w14:paraId="3D4DF8AB" w14:textId="77777777" w:rsidR="00D50636" w:rsidRDefault="00D50636" w:rsidP="00D50636">
      <w:pPr>
        <w:pStyle w:val="A-Grundtext"/>
      </w:pPr>
    </w:p>
    <w:p w14:paraId="7349921B" w14:textId="35AC915F" w:rsidR="00D50636" w:rsidRDefault="00D50636" w:rsidP="00D50636">
      <w:pPr>
        <w:pStyle w:val="A-Grundtext"/>
        <w:numPr>
          <w:ilvl w:val="0"/>
          <w:numId w:val="5"/>
        </w:numPr>
      </w:pPr>
      <w:r>
        <w:t xml:space="preserve">Der </w:t>
      </w:r>
      <w:r w:rsidR="00DB4564">
        <w:t>Arbeitnehmer</w:t>
      </w:r>
      <w:r>
        <w:t xml:space="preserve"> wird während der Arbeit akut krank: Selbstverständlich muss </w:t>
      </w:r>
      <w:r w:rsidR="00DB4564">
        <w:t>er</w:t>
      </w:r>
      <w:r>
        <w:t xml:space="preserve"> dann die Möglichkeit haben, sofort zum Arzt zu gehen (z. B. starke Glieder- oder Zahnschmerzen). Stets Voraussetzung: Der Besuch während der Arbeitszeit muss medizinisch notwendig sein. Wird der </w:t>
      </w:r>
      <w:r w:rsidR="00DB4564">
        <w:t>Arbeitnehmer</w:t>
      </w:r>
      <w:r>
        <w:t xml:space="preserve"> dann arbeitsunfähig krankgeschrieben, hat er Anspruch auf Lohnfortzahlung nach dem Entgeltfortzahlungsgesetz, da krankheitsbedingte Arbeitsunfähigkeit besteht.</w:t>
      </w:r>
    </w:p>
    <w:p w14:paraId="68771BC7" w14:textId="77777777" w:rsidR="00D50636" w:rsidRDefault="00D50636" w:rsidP="00D50636">
      <w:pPr>
        <w:pStyle w:val="A-Grundtext"/>
      </w:pPr>
    </w:p>
    <w:p w14:paraId="3C7198CE" w14:textId="4A47C4FA" w:rsidR="00D50636" w:rsidRDefault="00D50636" w:rsidP="00D50636">
      <w:pPr>
        <w:pStyle w:val="A-Grundtext"/>
        <w:numPr>
          <w:ilvl w:val="0"/>
          <w:numId w:val="5"/>
        </w:numPr>
      </w:pPr>
      <w:r>
        <w:t xml:space="preserve">Routinechecks oder Vorsorgeuntersuchungen: Sind medizinisch nicht notwendig, daher muss der </w:t>
      </w:r>
      <w:r w:rsidR="00DB4564">
        <w:t>Arbeitnehmer</w:t>
      </w:r>
      <w:r>
        <w:t xml:space="preserve"> diese außerhalb der Arbeitszeit legen. Es ist hier durchaus für den </w:t>
      </w:r>
      <w:r w:rsidR="00DB4564">
        <w:t>Arbeitnehmer</w:t>
      </w:r>
      <w:r>
        <w:t xml:space="preserve"> zumutbar, dass er bei medizinisch nicht notwendigen Terminen notfalls auch länger auf einen freien Termin wartet, Urlaub nimmt oder die Möglichkeiten flexibler Zeiteinteilung wahrnimmt.</w:t>
      </w:r>
    </w:p>
    <w:p w14:paraId="6CFFE5CF" w14:textId="77777777" w:rsidR="00D50636" w:rsidRDefault="00D50636" w:rsidP="00D50636">
      <w:pPr>
        <w:pStyle w:val="A-Grundtext"/>
      </w:pPr>
    </w:p>
    <w:p w14:paraId="3215F237" w14:textId="5D00A817" w:rsidR="00901837" w:rsidRDefault="00D50636" w:rsidP="00D50636">
      <w:pPr>
        <w:pStyle w:val="A-Grundtext"/>
        <w:numPr>
          <w:ilvl w:val="0"/>
          <w:numId w:val="5"/>
        </w:numPr>
      </w:pPr>
      <w:r>
        <w:t xml:space="preserve">Der Arzt hat keine anderen Termine mehr frei: Der </w:t>
      </w:r>
      <w:r w:rsidR="00DB4564">
        <w:t>Arbeitgeber</w:t>
      </w:r>
      <w:r>
        <w:t xml:space="preserve"> muss freigeben.</w:t>
      </w:r>
    </w:p>
    <w:p w14:paraId="02CDF53E" w14:textId="3245FAF4" w:rsidR="00D50636" w:rsidRDefault="00D50636" w:rsidP="00D50636">
      <w:pPr>
        <w:pStyle w:val="A-Grundtext"/>
      </w:pPr>
    </w:p>
    <w:p w14:paraId="3BC91FAF" w14:textId="36ED5BA7" w:rsidR="00D50636" w:rsidRDefault="00D50636" w:rsidP="00D50636">
      <w:pPr>
        <w:pStyle w:val="A-Grundtext"/>
        <w:numPr>
          <w:ilvl w:val="0"/>
          <w:numId w:val="5"/>
        </w:numPr>
      </w:pPr>
      <w:r>
        <w:t xml:space="preserve">Alle Sprechstunden fallen in die Arbeitszeit: Der </w:t>
      </w:r>
      <w:r w:rsidR="00DB4564">
        <w:t>Arbeitgeber</w:t>
      </w:r>
      <w:r>
        <w:t xml:space="preserve"> muss freigeben.</w:t>
      </w:r>
    </w:p>
    <w:p w14:paraId="2DD1493A" w14:textId="77777777" w:rsidR="00D50636" w:rsidRDefault="00D50636" w:rsidP="00D50636">
      <w:pPr>
        <w:pStyle w:val="A-Grundtext"/>
      </w:pPr>
    </w:p>
    <w:p w14:paraId="50F308F1" w14:textId="581E665D" w:rsidR="00D50636" w:rsidRDefault="00D50636" w:rsidP="00D50636">
      <w:pPr>
        <w:pStyle w:val="A-Grundtext"/>
        <w:numPr>
          <w:ilvl w:val="0"/>
          <w:numId w:val="5"/>
        </w:numPr>
      </w:pPr>
      <w:r>
        <w:t xml:space="preserve">Nachuntersuchungen: Werden häufig medizinisch notwendig sein, der </w:t>
      </w:r>
      <w:r w:rsidR="00DB4564">
        <w:t>Arbeitgeber</w:t>
      </w:r>
      <w:r>
        <w:t xml:space="preserve"> sollte hierfür dem </w:t>
      </w:r>
      <w:r w:rsidR="00DB4564">
        <w:t>Arbeitnehmer</w:t>
      </w:r>
      <w:r>
        <w:t xml:space="preserve"> freigeben.</w:t>
      </w:r>
    </w:p>
    <w:p w14:paraId="16AADB59" w14:textId="77777777" w:rsidR="00D50636" w:rsidRDefault="00D50636" w:rsidP="00D50636">
      <w:pPr>
        <w:pStyle w:val="A-Grundtext"/>
      </w:pPr>
    </w:p>
    <w:p w14:paraId="33AD97FC" w14:textId="2AF2CF01" w:rsidR="00D50636" w:rsidRDefault="00D50636" w:rsidP="00D50636">
      <w:pPr>
        <w:pStyle w:val="A-Grundtext"/>
        <w:numPr>
          <w:ilvl w:val="0"/>
          <w:numId w:val="5"/>
        </w:numPr>
      </w:pPr>
      <w:r>
        <w:t xml:space="preserve">Bei speziellen Untersuchungen, die nur zu bestimmten Zeiten angeboten werden (z.B. Blutentnahme in nüchternem Zustand, Röntgen oder Computertomografie): Der </w:t>
      </w:r>
      <w:r w:rsidR="00DB4564">
        <w:t>Arbeitgeber</w:t>
      </w:r>
      <w:r>
        <w:t xml:space="preserve"> muss den </w:t>
      </w:r>
      <w:r w:rsidR="00DB4564">
        <w:t>Arbeitnehmer</w:t>
      </w:r>
      <w:r>
        <w:t xml:space="preserve"> freistellen und Entgelt weiterzahlen. Zur Entgeltzahlung gehört nicht nur die Zeit des Arztbesuchs, sondern auch der Weg in die Praxis. Aber aufgepasst: Tarifverträge oder Arbeitsverträge können andere Regelungen enthalten.</w:t>
      </w:r>
    </w:p>
    <w:p w14:paraId="25AC704C" w14:textId="77777777" w:rsidR="00D50636" w:rsidRDefault="00D50636" w:rsidP="00D50636">
      <w:pPr>
        <w:pStyle w:val="A-Grundtext"/>
      </w:pPr>
    </w:p>
    <w:p w14:paraId="635CCD9A" w14:textId="7356003D" w:rsidR="00D50636" w:rsidRDefault="00D50636" w:rsidP="00D50636">
      <w:pPr>
        <w:pStyle w:val="A-Grundtext"/>
        <w:numPr>
          <w:ilvl w:val="0"/>
          <w:numId w:val="5"/>
        </w:numPr>
      </w:pPr>
      <w:r>
        <w:t xml:space="preserve">Der Arzt oder Zahnarzt bietet Abendsprechstunden an: In diesem Fall muss der </w:t>
      </w:r>
      <w:r w:rsidR="00DB4564">
        <w:t>Arbeitnehmer</w:t>
      </w:r>
      <w:r>
        <w:t xml:space="preserve"> den Arztbesuch grundsätzlich auf eine Zeit außerhalb der Arbeitszeit legen. Ausnahme: Die medizinischen Notwendigkeiten erfordern den Arztbesuch während der Arbeitszeit (z.B. </w:t>
      </w:r>
      <w:r w:rsidR="00DB4564">
        <w:t>Arbeitnehmer</w:t>
      </w:r>
      <w:r>
        <w:t xml:space="preserve"> muss „nüchtern“ erscheinen).</w:t>
      </w:r>
    </w:p>
    <w:p w14:paraId="7A487D69" w14:textId="77777777" w:rsidR="00D50636" w:rsidRDefault="00D50636" w:rsidP="00D50636">
      <w:pPr>
        <w:pStyle w:val="A-Grundtext"/>
      </w:pPr>
    </w:p>
    <w:p w14:paraId="41B93BA8" w14:textId="46652D22" w:rsidR="00D50636" w:rsidRDefault="00D50636" w:rsidP="00D50636">
      <w:pPr>
        <w:pStyle w:val="A-Grundtext"/>
        <w:numPr>
          <w:ilvl w:val="0"/>
          <w:numId w:val="5"/>
        </w:numPr>
      </w:pPr>
      <w:r>
        <w:t xml:space="preserve">Der </w:t>
      </w:r>
      <w:r w:rsidR="00DB4564">
        <w:t>Arbeitgeber</w:t>
      </w:r>
      <w:r>
        <w:t xml:space="preserve"> darf nicht verlangen, dass </w:t>
      </w:r>
      <w:r w:rsidR="00DB4564">
        <w:t>Arbeitnehmer</w:t>
      </w:r>
      <w:r>
        <w:t xml:space="preserve"> den Arzt wechselt. Hintergrund: Das schränkt das Recht auf freie Arztwahl ein. Denn die Wahl des Arztes hat Vorrang vor den Interessen eines </w:t>
      </w:r>
      <w:r w:rsidR="00DB4564">
        <w:t>Arbeitgeber</w:t>
      </w:r>
      <w:r>
        <w:t>, der die Bezahlung eines Arztbesuches möglichst vermeiden will (BAG</w:t>
      </w:r>
      <w:r w:rsidR="00DB4564">
        <w:t xml:space="preserve">, Urteil vom </w:t>
      </w:r>
      <w:r>
        <w:t>29.</w:t>
      </w:r>
      <w:r w:rsidR="00DB4564">
        <w:t>0</w:t>
      </w:r>
      <w:r>
        <w:t>2.</w:t>
      </w:r>
      <w:r w:rsidR="00DB4564">
        <w:t>19</w:t>
      </w:r>
      <w:r>
        <w:t xml:space="preserve">84, </w:t>
      </w:r>
      <w:r w:rsidR="00DB4564">
        <w:t xml:space="preserve">Az. </w:t>
      </w:r>
      <w:r>
        <w:t>5 AZR 92/82).</w:t>
      </w:r>
    </w:p>
    <w:p w14:paraId="5195E2C3" w14:textId="7E29293B" w:rsidR="00D50636" w:rsidRDefault="00D50636" w:rsidP="00D50636">
      <w:pPr>
        <w:pStyle w:val="A-Grundtext"/>
      </w:pPr>
    </w:p>
    <w:p w14:paraId="4B0A712E" w14:textId="26EF2828" w:rsidR="00D50636" w:rsidRDefault="00D50636" w:rsidP="00D50636">
      <w:pPr>
        <w:pStyle w:val="A-Grundtext"/>
        <w:numPr>
          <w:ilvl w:val="0"/>
          <w:numId w:val="5"/>
        </w:numPr>
      </w:pPr>
      <w:r>
        <w:t xml:space="preserve">Teilzeitbeschäftigte: Diese können </w:t>
      </w:r>
      <w:r w:rsidR="00DB4564">
        <w:t>i. d. R.</w:t>
      </w:r>
      <w:r>
        <w:t xml:space="preserve"> auch außerhalb der Arbeitszeit zum Arzt gehen. Ihnen unterstellt man, dass sie das – außer in ganz dringenden Fällen – außerhalb der Arbeitszeit tun können. Sie haben sonst keinen Anspruch auf Entgeltfortzahlung. Unter Umständen müssen sie die ausgefallene Arbeit auch nachholen.</w:t>
      </w:r>
    </w:p>
    <w:p w14:paraId="6AA4C687" w14:textId="77777777" w:rsidR="00D50636" w:rsidRDefault="00D50636" w:rsidP="00D50636">
      <w:pPr>
        <w:pStyle w:val="A-Grundtext"/>
      </w:pPr>
    </w:p>
    <w:p w14:paraId="4E611A8F" w14:textId="41CD8762" w:rsidR="00D50636" w:rsidRDefault="00D50636" w:rsidP="00D50636">
      <w:pPr>
        <w:pStyle w:val="A-Grundtext"/>
        <w:numPr>
          <w:ilvl w:val="0"/>
          <w:numId w:val="5"/>
        </w:numPr>
      </w:pPr>
      <w:r>
        <w:lastRenderedPageBreak/>
        <w:t xml:space="preserve">Minderjährige Beschäftigte und Azubis, die zur gesetzlich vorgeschriebenen Nachuntersuchung müssen, muss der </w:t>
      </w:r>
      <w:r w:rsidR="00DB4564">
        <w:t>Arbeitgeber</w:t>
      </w:r>
      <w:r>
        <w:t xml:space="preserve"> bezahlt freistellen. Das steht im Jugendarbeitsschutzgesetz. </w:t>
      </w:r>
    </w:p>
    <w:p w14:paraId="7E44C0E7" w14:textId="77777777" w:rsidR="00D50636" w:rsidRDefault="00D50636" w:rsidP="00D50636">
      <w:pPr>
        <w:pStyle w:val="A-Grundtext"/>
      </w:pPr>
    </w:p>
    <w:p w14:paraId="2EA95FC5" w14:textId="290E9547" w:rsidR="00D50636" w:rsidRDefault="00D50636" w:rsidP="00D50636">
      <w:pPr>
        <w:pStyle w:val="A-Grundtext"/>
        <w:numPr>
          <w:ilvl w:val="0"/>
          <w:numId w:val="5"/>
        </w:numPr>
      </w:pPr>
      <w:r>
        <w:t xml:space="preserve">Schwangere oder Mutterschaft: Das Mutterschutzgesetz sieht vor, dass der </w:t>
      </w:r>
      <w:r w:rsidR="00DB4564">
        <w:t>Arbeitgeber</w:t>
      </w:r>
      <w:r>
        <w:t xml:space="preserve"> Frauen für Untersuchungen, die zu den Leistungen der gesetzlichen Krankenversicherung gehören, bezahlt freistellen muss.</w:t>
      </w:r>
    </w:p>
    <w:p w14:paraId="32CBDA2A" w14:textId="77777777" w:rsidR="00D50636" w:rsidRDefault="00D50636" w:rsidP="00D50636">
      <w:pPr>
        <w:pStyle w:val="A-Grundtext"/>
      </w:pPr>
    </w:p>
    <w:p w14:paraId="517D4FAE" w14:textId="7FAA6438" w:rsidR="00D50636" w:rsidRDefault="00D50636" w:rsidP="00D50636">
      <w:pPr>
        <w:pStyle w:val="A-Grundtext"/>
        <w:numPr>
          <w:ilvl w:val="0"/>
          <w:numId w:val="5"/>
        </w:numPr>
      </w:pPr>
      <w:r>
        <w:t xml:space="preserve">Arztbesuche während der Gleitzeit: Enthalten betriebliche Gleitzeitvereinbarungen keine speziellen Regelungen, sollten sich </w:t>
      </w:r>
      <w:r w:rsidR="00DB4564">
        <w:t>Arbeitnehmer</w:t>
      </w:r>
      <w:r>
        <w:t xml:space="preserve"> bemühen, Termine außerhalb der Kernarbeitszeit zu legen. Betroffene haben wohl in solchen Fällen keinen Anspruch auf Vergütung.</w:t>
      </w:r>
    </w:p>
    <w:p w14:paraId="4F66988E" w14:textId="77777777" w:rsidR="00D50636" w:rsidRDefault="00D50636" w:rsidP="00D50636">
      <w:pPr>
        <w:pStyle w:val="A-Grundtext"/>
      </w:pPr>
    </w:p>
    <w:p w14:paraId="2DF77154" w14:textId="69F83E61" w:rsidR="00D50636" w:rsidRDefault="00D50636" w:rsidP="00D50636">
      <w:pPr>
        <w:pStyle w:val="A-Grundtext"/>
        <w:numPr>
          <w:ilvl w:val="0"/>
          <w:numId w:val="5"/>
        </w:numPr>
      </w:pPr>
      <w:r>
        <w:t>Krankes Kind: Im Fall einer Erkrankung des Kindes eines Beschäftigten gilt die gleiche Vorgehensweise. Innerhalb der Arbeitszeiten muss ein Arztbesuch medizinisch notwendig oder nicht anders möglich sein. Zusätzlich sollte die Ärztin oder der Arzt dem oder der Beschäftigten eine ärztliche Bescheinigung ausstellen, dass für das Kind eine Begleitung erforderlich war. Das ist auch ratsam, wenn Beschäftigte andere Angehörige begleiten, zum Beispiel den kranken Schwiegervater.</w:t>
      </w:r>
    </w:p>
    <w:p w14:paraId="08C37305" w14:textId="77777777" w:rsidR="00D50636" w:rsidRDefault="00D50636" w:rsidP="00D50636">
      <w:pPr>
        <w:pStyle w:val="A-Grundtext"/>
      </w:pPr>
    </w:p>
    <w:p w14:paraId="0C1FB24D" w14:textId="402E2921" w:rsidR="00D50636" w:rsidRDefault="00D50636" w:rsidP="00D50636">
      <w:pPr>
        <w:pStyle w:val="A-Grundtext"/>
        <w:numPr>
          <w:ilvl w:val="0"/>
          <w:numId w:val="5"/>
        </w:numPr>
      </w:pPr>
      <w:r>
        <w:t xml:space="preserve">Impfungen: Handelt es sich um eine normale Schutzimpfung, wird diese unter die allgemeine Gesundheitsvorsorge fallen. Daher sollte der </w:t>
      </w:r>
      <w:r w:rsidR="00DB4564">
        <w:t>Arbeitnehmer</w:t>
      </w:r>
      <w:r>
        <w:t xml:space="preserve"> diesen persönlichen Termin außerhalb der Arbeitszeit vereinbaren. Bietet der Arzt aber keinen anderen Termin außerhalb der Arbeitszeit an, wird der Besuch als medizinisch notwendig angesehen.</w:t>
      </w:r>
    </w:p>
    <w:p w14:paraId="0ACB8A66" w14:textId="3D892A12" w:rsidR="00D50636" w:rsidRDefault="00D50636" w:rsidP="00D50636">
      <w:pPr>
        <w:pStyle w:val="A-Grundtext"/>
      </w:pPr>
    </w:p>
    <w:p w14:paraId="62F339DC" w14:textId="02C3A4F7" w:rsidR="00D50636" w:rsidRDefault="00D50636" w:rsidP="00D50636">
      <w:pPr>
        <w:pStyle w:val="A-Grundtext"/>
        <w:numPr>
          <w:ilvl w:val="0"/>
          <w:numId w:val="5"/>
        </w:numPr>
      </w:pPr>
      <w:r w:rsidRPr="00DB4564">
        <w:rPr>
          <w:b/>
          <w:bCs/>
        </w:rPr>
        <w:t>Corona-Schutzimpfung:</w:t>
      </w:r>
      <w:r>
        <w:t xml:space="preserve"> In der in § 5 Abs. 1 der SARS-CoV-2-Arbeitsschutzverordnung geltenden Fassung vom 10.</w:t>
      </w:r>
      <w:r w:rsidR="00DB4564">
        <w:t>0</w:t>
      </w:r>
      <w:r>
        <w:t>9.</w:t>
      </w:r>
      <w:r w:rsidR="00DB4564">
        <w:t>20</w:t>
      </w:r>
      <w:r>
        <w:t xml:space="preserve">21 musste der </w:t>
      </w:r>
      <w:r w:rsidR="00DB4564">
        <w:t>Arbeitgeber</w:t>
      </w:r>
      <w:r>
        <w:t xml:space="preserve"> es den Beschäftigten ermöglichen, sich während der Arbeitszeit impfen zu lassen</w:t>
      </w:r>
      <w:r w:rsidRPr="00DB4564">
        <w:rPr>
          <w:b/>
          <w:bCs/>
        </w:rPr>
        <w:t>. Diese Regelung ist ausgelaufen.</w:t>
      </w:r>
      <w:r>
        <w:t xml:space="preserve"> Wenn der Arzt oder das Impfzentrum aber keinen anderen Termin anbietet und er z. B. zur Risikogruppe gehört, kann auch noch jetzt eine medizinische Notwendigkeit gegeben sein. Die Beschäftigten müssen in jedem Fall den </w:t>
      </w:r>
      <w:r w:rsidR="00DB4564">
        <w:t>Arbeitgeber</w:t>
      </w:r>
      <w:r>
        <w:t xml:space="preserve"> rechtzeitig informieren, wenn sie ein außerbetriebliches Impf­angebot wahrnehmen wollen.</w:t>
      </w:r>
    </w:p>
    <w:p w14:paraId="27FF8A5C" w14:textId="77777777" w:rsidR="00D50636" w:rsidRDefault="00D50636" w:rsidP="00D50636">
      <w:pPr>
        <w:pStyle w:val="A-Grundtext"/>
      </w:pPr>
    </w:p>
    <w:p w14:paraId="6996EE0F" w14:textId="099E941E" w:rsidR="00AE07BD" w:rsidRDefault="00D50636" w:rsidP="00A033C2">
      <w:pPr>
        <w:pStyle w:val="A-Grundtext"/>
        <w:numPr>
          <w:ilvl w:val="0"/>
          <w:numId w:val="5"/>
        </w:numPr>
      </w:pPr>
      <w:r>
        <w:t xml:space="preserve">Tarifliche, aber auch arbeitsvertragliche Regelungen: Diese können von der gesetzlichen Regelung abweichende Bestimmungen vorsehen. Sie dürfen nach der Rechtsprechung des BAG auch für </w:t>
      </w:r>
      <w:r w:rsidR="00DB4564">
        <w:t>Arbeitnehmer</w:t>
      </w:r>
      <w:r>
        <w:t xml:space="preserve"> schlechter sein. So könnte also auch in einem Tarifvertrag bestimmt werden, dass Arztbesuche während der Arbeitszeit nicht vergütet werden (BAG</w:t>
      </w:r>
      <w:r w:rsidR="00DB4564">
        <w:t>, Urteil vom</w:t>
      </w:r>
      <w:r>
        <w:t xml:space="preserve"> 25.</w:t>
      </w:r>
      <w:r w:rsidR="00DB4564">
        <w:t>0</w:t>
      </w:r>
      <w:r>
        <w:t>4.</w:t>
      </w:r>
      <w:r w:rsidR="00DB4564">
        <w:t>19</w:t>
      </w:r>
      <w:r>
        <w:t xml:space="preserve">60, </w:t>
      </w:r>
      <w:r w:rsidR="00DB4564">
        <w:t xml:space="preserve">Az. </w:t>
      </w:r>
      <w:r>
        <w:t>1 AZR 16/58).</w:t>
      </w:r>
    </w:p>
    <w:p w14:paraId="16F405B4" w14:textId="77777777" w:rsidR="00D50636" w:rsidRDefault="00D50636" w:rsidP="000839CE">
      <w:pPr>
        <w:pStyle w:val="A-Grundtext"/>
        <w:ind w:left="360"/>
      </w:pPr>
    </w:p>
    <w:p w14:paraId="5E37B580" w14:textId="782213F5" w:rsidR="00AE07BD" w:rsidRDefault="00AE07BD" w:rsidP="00A033C2">
      <w:pPr>
        <w:pStyle w:val="A-Grundtext"/>
      </w:pPr>
    </w:p>
    <w:p w14:paraId="4E648B53" w14:textId="77777777" w:rsidR="00D50636" w:rsidRDefault="00D50636" w:rsidP="00A033C2">
      <w:pPr>
        <w:pStyle w:val="A-Grundtext"/>
      </w:pPr>
    </w:p>
    <w:p w14:paraId="1A3AD99A" w14:textId="77777777" w:rsidR="00AE07BD" w:rsidRPr="00A033C2" w:rsidRDefault="00AE07BD" w:rsidP="00A033C2">
      <w:pPr>
        <w:pStyle w:val="A-Grundtext"/>
      </w:pPr>
    </w:p>
    <w:tbl>
      <w:tblPr>
        <w:tblStyle w:val="Tabellenraster"/>
        <w:tblW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79"/>
      </w:tblGrid>
      <w:tr w:rsidR="00B1645A" w14:paraId="4E0B3ECC" w14:textId="77777777" w:rsidTr="001E0C39">
        <w:trPr>
          <w:trHeight w:val="1690"/>
        </w:trPr>
        <w:tc>
          <w:tcPr>
            <w:tcW w:w="9779" w:type="dxa"/>
            <w:shd w:val="clear" w:color="auto" w:fill="D9D9D9" w:themeFill="background1" w:themeFillShade="D9"/>
            <w:vAlign w:val="center"/>
          </w:tcPr>
          <w:p w14:paraId="5EBAA436" w14:textId="77777777" w:rsidR="00B1645A" w:rsidRPr="00B1645A" w:rsidRDefault="00B1645A" w:rsidP="00DA1E2A">
            <w:pPr>
              <w:pStyle w:val="A-Grundtext"/>
              <w:shd w:val="clear" w:color="auto" w:fill="D9D9D9" w:themeFill="background1" w:themeFillShade="D9"/>
              <w:ind w:left="142" w:right="207"/>
            </w:pPr>
            <w:r w:rsidRPr="00B1645A">
              <w:rPr>
                <w:rStyle w:val="fett"/>
                <w:bCs/>
              </w:rPr>
              <w:t xml:space="preserve">Wichtiger Hinweis: </w:t>
            </w:r>
            <w:r w:rsidR="00195308" w:rsidRPr="00195308">
              <w:t xml:space="preserve">Der Inhalt ist nach bestem Wissen und Kenntnisstand erstellt worden. </w:t>
            </w:r>
            <w:r w:rsidR="00195308">
              <w:t>Die Redaktion prüft ihn regelmäßig und passt i</w:t>
            </w:r>
            <w:r w:rsidR="00E06B60">
              <w:t>h</w:t>
            </w:r>
            <w:r w:rsidR="00195308">
              <w:t xml:space="preserve">n </w:t>
            </w:r>
            <w:r w:rsidR="00195308" w:rsidRPr="00195308">
              <w:t>gegebenenfalls an. Gleichwohl schließen wir Haftung und Gewähr aus, da die Materie komplex ist und sich ständig wandelt</w:t>
            </w:r>
            <w:r w:rsidRPr="00B1645A">
              <w:t xml:space="preserve">. </w:t>
            </w:r>
            <w:r w:rsidR="0087647C">
              <w:t xml:space="preserve">Muster dienen als Vorlage und sind individuell </w:t>
            </w:r>
            <w:r w:rsidR="001B5725">
              <w:t>anzupassen.</w:t>
            </w:r>
          </w:p>
          <w:p w14:paraId="393A9F75" w14:textId="77777777" w:rsidR="00B1645A" w:rsidRPr="00B1645A" w:rsidRDefault="00B1645A" w:rsidP="00DA1E2A">
            <w:pPr>
              <w:pStyle w:val="A-Grundtext"/>
              <w:shd w:val="clear" w:color="auto" w:fill="D9D9D9" w:themeFill="background1" w:themeFillShade="D9"/>
              <w:ind w:left="142" w:right="207"/>
            </w:pPr>
          </w:p>
          <w:p w14:paraId="19041E4D" w14:textId="77777777" w:rsidR="00B1645A" w:rsidRPr="00B1645A" w:rsidRDefault="00B1645A" w:rsidP="00DA1E2A">
            <w:pPr>
              <w:pStyle w:val="A-Grundtext"/>
              <w:shd w:val="clear" w:color="auto" w:fill="D9D9D9" w:themeFill="background1" w:themeFillShade="D9"/>
              <w:ind w:left="142" w:right="207"/>
            </w:pPr>
            <w:r w:rsidRPr="00B1645A">
              <w:rPr>
                <w:b/>
              </w:rPr>
              <w:t>Haben Sie noch Fragen?</w:t>
            </w:r>
            <w:r w:rsidRPr="00B1645A">
              <w:t xml:space="preserve"> Schreiben Sie uns: </w:t>
            </w:r>
            <w:hyperlink r:id="rId7" w:history="1">
              <w:r w:rsidRPr="00B1645A">
                <w:rPr>
                  <w:rStyle w:val="Hyperlink"/>
                  <w:rFonts w:cs="Arial"/>
                  <w:color w:val="auto"/>
                </w:rPr>
                <w:t>kontakt@iww.de</w:t>
              </w:r>
            </w:hyperlink>
          </w:p>
        </w:tc>
      </w:tr>
    </w:tbl>
    <w:p w14:paraId="2074F53F" w14:textId="77777777" w:rsidR="00901837" w:rsidRPr="00A033C2" w:rsidRDefault="00901837" w:rsidP="00A033C2">
      <w:pPr>
        <w:pStyle w:val="A-Grundtext"/>
      </w:pPr>
    </w:p>
    <w:p w14:paraId="41F14342" w14:textId="77777777" w:rsidR="00901837" w:rsidRPr="00A033C2" w:rsidRDefault="00901837" w:rsidP="00901837">
      <w:pPr>
        <w:pStyle w:val="A-Grundtext"/>
      </w:pPr>
    </w:p>
    <w:sectPr w:rsidR="00901837" w:rsidRPr="00A033C2" w:rsidSect="008453E4">
      <w:headerReference w:type="default" r:id="rId8"/>
      <w:footerReference w:type="default" r:id="rId9"/>
      <w:headerReference w:type="first" r:id="rId10"/>
      <w:footerReference w:type="first" r:id="rId11"/>
      <w:pgSz w:w="11906" w:h="16838" w:code="9"/>
      <w:pgMar w:top="1418" w:right="849" w:bottom="1134" w:left="1418"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55C5C8" w14:textId="77777777" w:rsidR="00AA3DE5" w:rsidRDefault="00AA3DE5" w:rsidP="00B2150E">
      <w:pPr>
        <w:spacing w:after="0" w:line="240" w:lineRule="auto"/>
      </w:pPr>
      <w:r>
        <w:separator/>
      </w:r>
    </w:p>
  </w:endnote>
  <w:endnote w:type="continuationSeparator" w:id="0">
    <w:p w14:paraId="36B4670E" w14:textId="77777777" w:rsidR="00AA3DE5" w:rsidRDefault="00AA3DE5" w:rsidP="00B215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DIN Offc Pro">
    <w:altName w:val="Segoe Script"/>
    <w:panose1 w:val="020B0504020101020102"/>
    <w:charset w:val="00"/>
    <w:family w:val="swiss"/>
    <w:pitch w:val="variable"/>
    <w:sig w:usb0="A00002BF" w:usb1="4000207B" w:usb2="00000008"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DINPro-Regular">
    <w:altName w:val="Ligurino"/>
    <w:panose1 w:val="02000503030000020003"/>
    <w:charset w:val="00"/>
    <w:family w:val="modern"/>
    <w:notTrueType/>
    <w:pitch w:val="variable"/>
    <w:sig w:usb0="800002AF" w:usb1="4000206A"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1BEEB7" w14:textId="77777777" w:rsidR="009F4FFC" w:rsidRPr="00F71C96" w:rsidRDefault="008453E4" w:rsidP="001E0C39">
    <w:pPr>
      <w:pStyle w:val="Fuzeile"/>
      <w:tabs>
        <w:tab w:val="clear" w:pos="4536"/>
        <w:tab w:val="clear" w:pos="9072"/>
        <w:tab w:val="right" w:pos="8364"/>
      </w:tabs>
      <w:ind w:left="360" w:right="850"/>
      <w:jc w:val="center"/>
      <w:rPr>
        <w:rFonts w:ascii="Arial" w:hAnsi="Arial" w:cs="Arial"/>
        <w:sz w:val="16"/>
      </w:rPr>
    </w:pPr>
    <w:r w:rsidRPr="00F71C96">
      <w:rPr>
        <w:rFonts w:ascii="Arial" w:hAnsi="Arial" w:cs="Arial"/>
        <w:sz w:val="16"/>
      </w:rPr>
      <w:t xml:space="preserve">- </w:t>
    </w:r>
    <w:r w:rsidRPr="00F71C96">
      <w:rPr>
        <w:rFonts w:ascii="Arial" w:hAnsi="Arial" w:cs="Arial"/>
        <w:sz w:val="16"/>
      </w:rPr>
      <w:fldChar w:fldCharType="begin"/>
    </w:r>
    <w:r w:rsidRPr="00F71C96">
      <w:rPr>
        <w:rFonts w:ascii="Arial" w:hAnsi="Arial" w:cs="Arial"/>
        <w:sz w:val="16"/>
      </w:rPr>
      <w:instrText>PAGE   \* MERGEFORMAT</w:instrText>
    </w:r>
    <w:r w:rsidRPr="00F71C96">
      <w:rPr>
        <w:rFonts w:ascii="Arial" w:hAnsi="Arial" w:cs="Arial"/>
        <w:sz w:val="16"/>
      </w:rPr>
      <w:fldChar w:fldCharType="separate"/>
    </w:r>
    <w:r w:rsidR="00360B71">
      <w:rPr>
        <w:rFonts w:ascii="Arial" w:hAnsi="Arial" w:cs="Arial"/>
        <w:noProof/>
        <w:sz w:val="16"/>
      </w:rPr>
      <w:t>2</w:t>
    </w:r>
    <w:r w:rsidRPr="00F71C96">
      <w:rPr>
        <w:rFonts w:ascii="Arial" w:hAnsi="Arial" w:cs="Arial"/>
        <w:sz w:val="16"/>
      </w:rPr>
      <w:fldChar w:fldCharType="end"/>
    </w:r>
    <w:r w:rsidRPr="00F71C96">
      <w:rPr>
        <w:rFonts w:ascii="Arial" w:hAnsi="Arial" w:cs="Arial"/>
        <w:sz w:val="16"/>
      </w:rPr>
      <w:t xml:space="preserve"> - </w:t>
    </w:r>
  </w:p>
  <w:p w14:paraId="44A1C0E4" w14:textId="77777777" w:rsidR="00B2150E" w:rsidRDefault="00EA7C3F" w:rsidP="00B2150E">
    <w:pPr>
      <w:pStyle w:val="Fuzeile"/>
      <w:jc w:val="right"/>
    </w:pPr>
    <w:r>
      <w:rPr>
        <w:noProof/>
      </w:rPr>
      <w:drawing>
        <wp:anchor distT="0" distB="0" distL="114300" distR="114300" simplePos="0" relativeHeight="251658240" behindDoc="1" locked="0" layoutInCell="1" allowOverlap="1" wp14:anchorId="27C210FA" wp14:editId="5B1206E2">
          <wp:simplePos x="0" y="0"/>
          <wp:positionH relativeFrom="column">
            <wp:posOffset>4357370</wp:posOffset>
          </wp:positionH>
          <wp:positionV relativeFrom="paragraph">
            <wp:posOffset>-102870</wp:posOffset>
          </wp:positionV>
          <wp:extent cx="1939925" cy="271780"/>
          <wp:effectExtent l="0" t="0" r="0" b="0"/>
          <wp:wrapNone/>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39925" cy="27178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9F4DF9" w14:textId="77777777" w:rsidR="008453E4" w:rsidRPr="00B55676" w:rsidRDefault="00EA7C3F">
    <w:pPr>
      <w:pStyle w:val="Fuzeile"/>
      <w:rPr>
        <w:rFonts w:ascii="Arial" w:hAnsi="Arial" w:cs="Arial"/>
        <w:sz w:val="16"/>
        <w:szCs w:val="16"/>
      </w:rPr>
    </w:pPr>
    <w:r>
      <w:rPr>
        <w:noProof/>
      </w:rPr>
      <w:drawing>
        <wp:anchor distT="0" distB="0" distL="114300" distR="114300" simplePos="0" relativeHeight="251660288" behindDoc="1" locked="0" layoutInCell="1" allowOverlap="1" wp14:anchorId="2FCB2127" wp14:editId="1EC390BD">
          <wp:simplePos x="0" y="0"/>
          <wp:positionH relativeFrom="column">
            <wp:posOffset>4509770</wp:posOffset>
          </wp:positionH>
          <wp:positionV relativeFrom="paragraph">
            <wp:posOffset>49530</wp:posOffset>
          </wp:positionV>
          <wp:extent cx="1939925" cy="271780"/>
          <wp:effectExtent l="0" t="0" r="0" b="0"/>
          <wp:wrapNone/>
          <wp:docPr id="1"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39925" cy="271780"/>
                  </a:xfrm>
                  <a:prstGeom prst="rect">
                    <a:avLst/>
                  </a:prstGeom>
                  <a:noFill/>
                  <a:ln>
                    <a:noFill/>
                  </a:ln>
                </pic:spPr>
              </pic:pic>
            </a:graphicData>
          </a:graphic>
          <wp14:sizeRelH relativeFrom="page">
            <wp14:pctWidth>0</wp14:pctWidth>
          </wp14:sizeRelH>
          <wp14:sizeRelV relativeFrom="page">
            <wp14:pctHeight>0</wp14:pctHeight>
          </wp14:sizeRelV>
        </wp:anchor>
      </w:drawing>
    </w:r>
    <w:r w:rsidR="00B55676" w:rsidRPr="00B55676">
      <w:rPr>
        <w:rFonts w:ascii="Arial" w:hAnsi="Arial" w:cs="Arial"/>
        <w:sz w:val="16"/>
        <w:szCs w:val="16"/>
      </w:rPr>
      <w:t xml:space="preserve">IWW-ID: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BA0243" w14:textId="77777777" w:rsidR="00AA3DE5" w:rsidRDefault="00AA3DE5" w:rsidP="00B2150E">
      <w:pPr>
        <w:spacing w:after="0" w:line="240" w:lineRule="auto"/>
      </w:pPr>
      <w:r>
        <w:separator/>
      </w:r>
    </w:p>
  </w:footnote>
  <w:footnote w:type="continuationSeparator" w:id="0">
    <w:p w14:paraId="6AB645E1" w14:textId="77777777" w:rsidR="00AA3DE5" w:rsidRDefault="00AA3DE5" w:rsidP="00B2150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5F7CC6" w14:textId="77777777" w:rsidR="00B2150E" w:rsidRPr="003B0C0E" w:rsidRDefault="001A4CE6">
    <w:pPr>
      <w:pStyle w:val="Kopfzeile"/>
      <w:rPr>
        <w:rFonts w:ascii="DINPro-Regular" w:hAnsi="DINPro-Regular"/>
      </w:rPr>
    </w:pPr>
    <w:r w:rsidRPr="001A4CE6">
      <w:rPr>
        <w:rFonts w:ascii="DINPro-Regular" w:hAnsi="DINPro-Regular"/>
        <w:noProof/>
        <w:lang w:eastAsia="de-DE"/>
      </w:rPr>
      <w:drawing>
        <wp:inline distT="0" distB="0" distL="0" distR="0" wp14:anchorId="4E2FF7FF" wp14:editId="2149D020">
          <wp:extent cx="1209675" cy="552450"/>
          <wp:effectExtent l="0" t="0" r="0" b="0"/>
          <wp:docPr id="2"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09675" cy="552450"/>
                  </a:xfrm>
                  <a:prstGeom prst="rect">
                    <a:avLst/>
                  </a:prstGeom>
                  <a:noFill/>
                  <a:ln>
                    <a:noFill/>
                  </a:ln>
                </pic:spPr>
              </pic:pic>
            </a:graphicData>
          </a:graphic>
        </wp:inline>
      </w:drawing>
    </w:r>
  </w:p>
  <w:p w14:paraId="12429E6F" w14:textId="77777777" w:rsidR="003B0C0E" w:rsidRDefault="003B0C0E">
    <w:pPr>
      <w:pStyle w:val="Kopfzeile"/>
      <w:rPr>
        <w:rFonts w:ascii="DINPro-Regular" w:hAnsi="DINPro-Regular"/>
      </w:rPr>
    </w:pPr>
  </w:p>
  <w:p w14:paraId="20C4CE62" w14:textId="77777777" w:rsidR="008453E4" w:rsidRPr="003B0C0E" w:rsidRDefault="008453E4">
    <w:pPr>
      <w:pStyle w:val="Kopfzeile"/>
      <w:rPr>
        <w:rFonts w:ascii="DINPro-Regular" w:hAnsi="DINPro-Regular"/>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CF2E97" w14:textId="77777777" w:rsidR="008453E4" w:rsidRDefault="001A4CE6">
    <w:pPr>
      <w:pStyle w:val="Kopfzeile"/>
    </w:pPr>
    <w:r w:rsidRPr="00DC6EAC">
      <w:rPr>
        <w:noProof/>
        <w:lang w:eastAsia="de-DE"/>
      </w:rPr>
      <w:drawing>
        <wp:inline distT="0" distB="0" distL="0" distR="0" wp14:anchorId="5D9EF18E" wp14:editId="35A5AC2E">
          <wp:extent cx="1209675" cy="552450"/>
          <wp:effectExtent l="0" t="0" r="0" b="0"/>
          <wp:docPr id="4"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09675" cy="552450"/>
                  </a:xfrm>
                  <a:prstGeom prst="rect">
                    <a:avLst/>
                  </a:prstGeom>
                  <a:noFill/>
                  <a:ln>
                    <a:noFill/>
                  </a:ln>
                </pic:spPr>
              </pic:pic>
            </a:graphicData>
          </a:graphic>
        </wp:inline>
      </w:drawing>
    </w:r>
  </w:p>
  <w:p w14:paraId="613B1592" w14:textId="77777777" w:rsidR="008453E4" w:rsidRDefault="008453E4">
    <w:pPr>
      <w:pStyle w:val="Kopfzeile"/>
    </w:pPr>
  </w:p>
  <w:p w14:paraId="32B75D28" w14:textId="77777777" w:rsidR="008453E4" w:rsidRDefault="008453E4">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C54E1C"/>
    <w:multiLevelType w:val="hybridMultilevel"/>
    <w:tmpl w:val="F53C99F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366B6F68"/>
    <w:multiLevelType w:val="hybridMultilevel"/>
    <w:tmpl w:val="8F5E9AF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6BD5152A"/>
    <w:multiLevelType w:val="hybridMultilevel"/>
    <w:tmpl w:val="FFFFFFFF"/>
    <w:lvl w:ilvl="0" w:tplc="E022F52E">
      <w:numFmt w:val="bullet"/>
      <w:lvlText w:val="-"/>
      <w:lvlJc w:val="left"/>
      <w:pPr>
        <w:ind w:left="720" w:hanging="360"/>
      </w:pPr>
      <w:rPr>
        <w:rFonts w:ascii="DIN Offc Pro" w:eastAsia="Times New Roman" w:hAnsi="DIN Offc Pro"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767417D1"/>
    <w:multiLevelType w:val="hybridMultilevel"/>
    <w:tmpl w:val="FFFFFFFF"/>
    <w:lvl w:ilvl="0" w:tplc="B4F8FC3A">
      <w:start w:val="1"/>
      <w:numFmt w:val="bullet"/>
      <w:pStyle w:val="A-AufzhlungPunkt"/>
      <w:lvlText w:val=""/>
      <w:lvlJc w:val="left"/>
      <w:pPr>
        <w:tabs>
          <w:tab w:val="num" w:pos="360"/>
        </w:tabs>
        <w:ind w:left="360" w:hanging="360"/>
      </w:pPr>
      <w:rPr>
        <w:rFonts w:ascii="Wingdings" w:hAnsi="Wingdings" w:hint="default"/>
        <w:sz w:val="22"/>
      </w:rPr>
    </w:lvl>
    <w:lvl w:ilvl="1" w:tplc="04070003">
      <w:start w:val="1"/>
      <w:numFmt w:val="bullet"/>
      <w:lvlText w:val="o"/>
      <w:lvlJc w:val="left"/>
      <w:pPr>
        <w:tabs>
          <w:tab w:val="num" w:pos="1440"/>
        </w:tabs>
        <w:ind w:left="1440" w:hanging="360"/>
      </w:pPr>
      <w:rPr>
        <w:rFonts w:ascii="Courier New" w:hAnsi="Courier New" w:hint="default"/>
      </w:rPr>
    </w:lvl>
    <w:lvl w:ilvl="2" w:tplc="04070005">
      <w:start w:val="1"/>
      <w:numFmt w:val="bullet"/>
      <w:lvlText w:val=""/>
      <w:lvlJc w:val="left"/>
      <w:pPr>
        <w:tabs>
          <w:tab w:val="num" w:pos="2160"/>
        </w:tabs>
        <w:ind w:left="2160" w:hanging="360"/>
      </w:pPr>
      <w:rPr>
        <w:rFonts w:ascii="Wingdings" w:hAnsi="Wingdings" w:hint="default"/>
      </w:rPr>
    </w:lvl>
    <w:lvl w:ilvl="3" w:tplc="04070001">
      <w:start w:val="1"/>
      <w:numFmt w:val="bullet"/>
      <w:lvlText w:val=""/>
      <w:lvlJc w:val="left"/>
      <w:pPr>
        <w:tabs>
          <w:tab w:val="num" w:pos="2880"/>
        </w:tabs>
        <w:ind w:left="2880" w:hanging="360"/>
      </w:pPr>
      <w:rPr>
        <w:rFonts w:ascii="Symbol" w:hAnsi="Symbol" w:hint="default"/>
      </w:rPr>
    </w:lvl>
    <w:lvl w:ilvl="4" w:tplc="04070003">
      <w:start w:val="1"/>
      <w:numFmt w:val="bullet"/>
      <w:lvlText w:val="o"/>
      <w:lvlJc w:val="left"/>
      <w:pPr>
        <w:tabs>
          <w:tab w:val="num" w:pos="3600"/>
        </w:tabs>
        <w:ind w:left="3600" w:hanging="360"/>
      </w:pPr>
      <w:rPr>
        <w:rFonts w:ascii="Courier New" w:hAnsi="Courier New" w:hint="default"/>
      </w:rPr>
    </w:lvl>
    <w:lvl w:ilvl="5" w:tplc="04070005">
      <w:start w:val="1"/>
      <w:numFmt w:val="bullet"/>
      <w:lvlText w:val=""/>
      <w:lvlJc w:val="left"/>
      <w:pPr>
        <w:tabs>
          <w:tab w:val="num" w:pos="4320"/>
        </w:tabs>
        <w:ind w:left="4320" w:hanging="360"/>
      </w:pPr>
      <w:rPr>
        <w:rFonts w:ascii="Wingdings" w:hAnsi="Wingdings" w:hint="default"/>
      </w:rPr>
    </w:lvl>
    <w:lvl w:ilvl="6" w:tplc="04070001">
      <w:start w:val="1"/>
      <w:numFmt w:val="bullet"/>
      <w:lvlText w:val=""/>
      <w:lvlJc w:val="left"/>
      <w:pPr>
        <w:tabs>
          <w:tab w:val="num" w:pos="5040"/>
        </w:tabs>
        <w:ind w:left="5040" w:hanging="360"/>
      </w:pPr>
      <w:rPr>
        <w:rFonts w:ascii="Symbol" w:hAnsi="Symbol" w:hint="default"/>
      </w:rPr>
    </w:lvl>
    <w:lvl w:ilvl="7" w:tplc="04070003">
      <w:start w:val="1"/>
      <w:numFmt w:val="bullet"/>
      <w:lvlText w:val="o"/>
      <w:lvlJc w:val="left"/>
      <w:pPr>
        <w:tabs>
          <w:tab w:val="num" w:pos="5760"/>
        </w:tabs>
        <w:ind w:left="5760" w:hanging="360"/>
      </w:pPr>
      <w:rPr>
        <w:rFonts w:ascii="Courier New" w:hAnsi="Courier New" w:hint="default"/>
      </w:rPr>
    </w:lvl>
    <w:lvl w:ilvl="8" w:tplc="04070005">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79A87F70"/>
    <w:multiLevelType w:val="hybridMultilevel"/>
    <w:tmpl w:val="FFFFFFFF"/>
    <w:lvl w:ilvl="0" w:tplc="7E8E74A4">
      <w:numFmt w:val="bullet"/>
      <w:lvlText w:val="-"/>
      <w:lvlJc w:val="left"/>
      <w:pPr>
        <w:ind w:left="720" w:hanging="360"/>
      </w:pPr>
      <w:rPr>
        <w:rFonts w:ascii="DIN Offc Pro" w:eastAsia="Times New Roman" w:hAnsi="DIN Offc Pro"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2116712504">
    <w:abstractNumId w:val="2"/>
  </w:num>
  <w:num w:numId="2" w16cid:durableId="1384675516">
    <w:abstractNumId w:val="4"/>
  </w:num>
  <w:num w:numId="3" w16cid:durableId="100881069">
    <w:abstractNumId w:val="3"/>
  </w:num>
  <w:num w:numId="4" w16cid:durableId="1875465122">
    <w:abstractNumId w:val="1"/>
  </w:num>
  <w:num w:numId="5" w16cid:durableId="10669549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0"/>
  </w:compat>
  <w:rsids>
    <w:rsidRoot w:val="00B2150E"/>
    <w:rsid w:val="00047F0E"/>
    <w:rsid w:val="0005371D"/>
    <w:rsid w:val="000839CE"/>
    <w:rsid w:val="000A1660"/>
    <w:rsid w:val="000B07BE"/>
    <w:rsid w:val="000D00F1"/>
    <w:rsid w:val="000E3168"/>
    <w:rsid w:val="000E5957"/>
    <w:rsid w:val="00151769"/>
    <w:rsid w:val="00195308"/>
    <w:rsid w:val="001A2C2E"/>
    <w:rsid w:val="001A4CE6"/>
    <w:rsid w:val="001B0D45"/>
    <w:rsid w:val="001B5725"/>
    <w:rsid w:val="001E0C39"/>
    <w:rsid w:val="00215ABE"/>
    <w:rsid w:val="0023011E"/>
    <w:rsid w:val="00241789"/>
    <w:rsid w:val="002A5484"/>
    <w:rsid w:val="002D4A97"/>
    <w:rsid w:val="00320EA2"/>
    <w:rsid w:val="00360B71"/>
    <w:rsid w:val="003843C6"/>
    <w:rsid w:val="003B0C0E"/>
    <w:rsid w:val="004033C6"/>
    <w:rsid w:val="0045307A"/>
    <w:rsid w:val="00453096"/>
    <w:rsid w:val="004D2AB7"/>
    <w:rsid w:val="004F4EA0"/>
    <w:rsid w:val="00581FEE"/>
    <w:rsid w:val="00593354"/>
    <w:rsid w:val="005B24EC"/>
    <w:rsid w:val="00610AFA"/>
    <w:rsid w:val="00682B08"/>
    <w:rsid w:val="006A385A"/>
    <w:rsid w:val="006B0D4D"/>
    <w:rsid w:val="006F7D28"/>
    <w:rsid w:val="00736EA3"/>
    <w:rsid w:val="007712EC"/>
    <w:rsid w:val="00844B9B"/>
    <w:rsid w:val="008453E4"/>
    <w:rsid w:val="0087647C"/>
    <w:rsid w:val="008B69CB"/>
    <w:rsid w:val="008C5382"/>
    <w:rsid w:val="008C7F29"/>
    <w:rsid w:val="00901837"/>
    <w:rsid w:val="00916CF4"/>
    <w:rsid w:val="00923F71"/>
    <w:rsid w:val="00997F46"/>
    <w:rsid w:val="009A6C9A"/>
    <w:rsid w:val="009B5A39"/>
    <w:rsid w:val="009F01A8"/>
    <w:rsid w:val="009F4FFC"/>
    <w:rsid w:val="00A00DF1"/>
    <w:rsid w:val="00A033C2"/>
    <w:rsid w:val="00AA3DE5"/>
    <w:rsid w:val="00AC24B7"/>
    <w:rsid w:val="00AE07BD"/>
    <w:rsid w:val="00AF49EB"/>
    <w:rsid w:val="00B06839"/>
    <w:rsid w:val="00B1645A"/>
    <w:rsid w:val="00B2150E"/>
    <w:rsid w:val="00B55676"/>
    <w:rsid w:val="00B9664D"/>
    <w:rsid w:val="00BC1A18"/>
    <w:rsid w:val="00CF57DB"/>
    <w:rsid w:val="00D45578"/>
    <w:rsid w:val="00D50636"/>
    <w:rsid w:val="00DA1E2A"/>
    <w:rsid w:val="00DB4564"/>
    <w:rsid w:val="00DB6237"/>
    <w:rsid w:val="00DC6EAC"/>
    <w:rsid w:val="00E06B60"/>
    <w:rsid w:val="00E102A2"/>
    <w:rsid w:val="00E33B46"/>
    <w:rsid w:val="00E60AAC"/>
    <w:rsid w:val="00EA7C3F"/>
    <w:rsid w:val="00EB29A4"/>
    <w:rsid w:val="00EF5ABB"/>
    <w:rsid w:val="00F16671"/>
    <w:rsid w:val="00F52F7E"/>
    <w:rsid w:val="00F71C96"/>
    <w:rsid w:val="00FF3C8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B0C539F"/>
  <w14:defaultImageDpi w14:val="0"/>
  <w15:docId w15:val="{EB94590D-2E45-47B9-A785-E22CC7B5C2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heme="minorHAns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table of authorities" w:semiHidden="1" w:unhideWhenUsed="1"/>
    <w:lsdException w:name="List" w:semiHidden="1" w:unhideWhenUsed="1"/>
    <w:lsdException w:name="List Bullet" w:semiHidden="1" w:unhideWhenUsed="1"/>
    <w:lsdException w:name="Title" w:uiPriority="10" w:qFormat="1"/>
    <w:lsdException w:name="Default Paragraph Font" w:semiHidden="1" w:uiPriority="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uiPriority="11" w:qFormat="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C7F29"/>
    <w:rPr>
      <w:rFonts w:cs="Times New Roman"/>
    </w:rPr>
  </w:style>
  <w:style w:type="paragraph" w:styleId="berschrift1">
    <w:name w:val="heading 1"/>
    <w:basedOn w:val="Standard"/>
    <w:next w:val="Standard"/>
    <w:link w:val="berschrift1Zchn"/>
    <w:uiPriority w:val="9"/>
    <w:qFormat/>
    <w:rsid w:val="0023011E"/>
    <w:pPr>
      <w:keepNext/>
      <w:keepLines/>
      <w:spacing w:before="480" w:after="0"/>
      <w:outlineLvl w:val="0"/>
    </w:pPr>
    <w:rPr>
      <w:rFonts w:asciiTheme="majorHAnsi" w:eastAsiaTheme="majorEastAsia" w:hAnsiTheme="majorHAnsi"/>
      <w:b/>
      <w:bCs/>
      <w:color w:val="365F91" w:themeColor="accent1" w:themeShade="BF"/>
      <w:sz w:val="28"/>
      <w:szCs w:val="28"/>
    </w:rPr>
  </w:style>
  <w:style w:type="paragraph" w:styleId="berschrift2">
    <w:name w:val="heading 2"/>
    <w:basedOn w:val="Standard"/>
    <w:next w:val="Standard"/>
    <w:link w:val="berschrift2Zchn"/>
    <w:uiPriority w:val="9"/>
    <w:semiHidden/>
    <w:unhideWhenUsed/>
    <w:qFormat/>
    <w:rsid w:val="006A385A"/>
    <w:pPr>
      <w:keepNext/>
      <w:keepLines/>
      <w:spacing w:before="200" w:after="0"/>
      <w:outlineLvl w:val="1"/>
    </w:pPr>
    <w:rPr>
      <w:rFonts w:asciiTheme="majorHAnsi" w:eastAsiaTheme="majorEastAsia" w:hAnsiTheme="majorHAnsi"/>
      <w:b/>
      <w:bCs/>
      <w:color w:val="4F81BD" w:themeColor="accent1"/>
      <w:sz w:val="26"/>
      <w:szCs w:val="26"/>
    </w:rPr>
  </w:style>
  <w:style w:type="paragraph" w:styleId="berschrift3">
    <w:name w:val="heading 3"/>
    <w:basedOn w:val="Standard"/>
    <w:next w:val="Standard"/>
    <w:link w:val="berschrift3Zchn"/>
    <w:uiPriority w:val="9"/>
    <w:semiHidden/>
    <w:unhideWhenUsed/>
    <w:qFormat/>
    <w:rsid w:val="006A385A"/>
    <w:pPr>
      <w:keepNext/>
      <w:keepLines/>
      <w:spacing w:before="200" w:after="0"/>
      <w:outlineLvl w:val="2"/>
    </w:pPr>
    <w:rPr>
      <w:rFonts w:asciiTheme="majorHAnsi" w:eastAsiaTheme="majorEastAsia" w:hAnsiTheme="majorHAnsi"/>
      <w:b/>
      <w:bCs/>
      <w:color w:val="4F81BD" w:themeColor="accent1"/>
    </w:rPr>
  </w:style>
  <w:style w:type="paragraph" w:styleId="berschrift4">
    <w:name w:val="heading 4"/>
    <w:basedOn w:val="Standard"/>
    <w:next w:val="Standard"/>
    <w:link w:val="berschrift4Zchn"/>
    <w:uiPriority w:val="9"/>
    <w:unhideWhenUsed/>
    <w:qFormat/>
    <w:rsid w:val="006A385A"/>
    <w:pPr>
      <w:keepNext/>
      <w:keepLines/>
      <w:spacing w:before="200" w:after="0"/>
      <w:outlineLvl w:val="3"/>
    </w:pPr>
    <w:rPr>
      <w:rFonts w:asciiTheme="majorHAnsi" w:eastAsiaTheme="majorEastAsia" w:hAnsiTheme="majorHAnsi"/>
      <w:b/>
      <w:bCs/>
      <w:i/>
      <w:iCs/>
      <w:color w:val="4F81BD" w:themeColor="accent1"/>
    </w:rPr>
  </w:style>
  <w:style w:type="paragraph" w:styleId="berschrift5">
    <w:name w:val="heading 5"/>
    <w:basedOn w:val="Standard"/>
    <w:next w:val="Standard"/>
    <w:link w:val="berschrift5Zchn"/>
    <w:uiPriority w:val="9"/>
    <w:semiHidden/>
    <w:unhideWhenUsed/>
    <w:qFormat/>
    <w:rsid w:val="006A385A"/>
    <w:pPr>
      <w:keepNext/>
      <w:keepLines/>
      <w:spacing w:before="200" w:after="0"/>
      <w:outlineLvl w:val="4"/>
    </w:pPr>
    <w:rPr>
      <w:rFonts w:asciiTheme="majorHAnsi" w:eastAsiaTheme="majorEastAsia" w:hAnsiTheme="majorHAnsi"/>
      <w:color w:val="243F60" w:themeColor="accent1" w:themeShade="7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locked/>
    <w:rsid w:val="0023011E"/>
    <w:rPr>
      <w:rFonts w:asciiTheme="majorHAnsi" w:eastAsiaTheme="majorEastAsia" w:hAnsiTheme="majorHAnsi" w:cs="Times New Roman"/>
      <w:b/>
      <w:bCs/>
      <w:color w:val="365F91" w:themeColor="accent1" w:themeShade="BF"/>
      <w:sz w:val="28"/>
      <w:szCs w:val="28"/>
    </w:rPr>
  </w:style>
  <w:style w:type="character" w:customStyle="1" w:styleId="berschrift2Zchn">
    <w:name w:val="Überschrift 2 Zchn"/>
    <w:basedOn w:val="Absatz-Standardschriftart"/>
    <w:link w:val="berschrift2"/>
    <w:uiPriority w:val="9"/>
    <w:semiHidden/>
    <w:locked/>
    <w:rsid w:val="006A385A"/>
    <w:rPr>
      <w:rFonts w:asciiTheme="majorHAnsi" w:eastAsiaTheme="majorEastAsia" w:hAnsiTheme="majorHAnsi" w:cs="Times New Roman"/>
      <w:b/>
      <w:bCs/>
      <w:color w:val="4F81BD" w:themeColor="accent1"/>
      <w:sz w:val="26"/>
      <w:szCs w:val="26"/>
    </w:rPr>
  </w:style>
  <w:style w:type="character" w:customStyle="1" w:styleId="berschrift3Zchn">
    <w:name w:val="Überschrift 3 Zchn"/>
    <w:basedOn w:val="Absatz-Standardschriftart"/>
    <w:link w:val="berschrift3"/>
    <w:uiPriority w:val="9"/>
    <w:semiHidden/>
    <w:locked/>
    <w:rsid w:val="006A385A"/>
    <w:rPr>
      <w:rFonts w:asciiTheme="majorHAnsi" w:eastAsiaTheme="majorEastAsia" w:hAnsiTheme="majorHAnsi" w:cs="Times New Roman"/>
      <w:b/>
      <w:bCs/>
      <w:color w:val="4F81BD" w:themeColor="accent1"/>
    </w:rPr>
  </w:style>
  <w:style w:type="character" w:customStyle="1" w:styleId="berschrift4Zchn">
    <w:name w:val="Überschrift 4 Zchn"/>
    <w:basedOn w:val="Absatz-Standardschriftart"/>
    <w:link w:val="berschrift4"/>
    <w:uiPriority w:val="9"/>
    <w:locked/>
    <w:rsid w:val="006A385A"/>
    <w:rPr>
      <w:rFonts w:asciiTheme="majorHAnsi" w:eastAsiaTheme="majorEastAsia" w:hAnsiTheme="majorHAnsi" w:cs="Times New Roman"/>
      <w:b/>
      <w:bCs/>
      <w:i/>
      <w:iCs/>
      <w:color w:val="4F81BD" w:themeColor="accent1"/>
    </w:rPr>
  </w:style>
  <w:style w:type="character" w:customStyle="1" w:styleId="berschrift5Zchn">
    <w:name w:val="Überschrift 5 Zchn"/>
    <w:basedOn w:val="Absatz-Standardschriftart"/>
    <w:link w:val="berschrift5"/>
    <w:uiPriority w:val="9"/>
    <w:semiHidden/>
    <w:locked/>
    <w:rsid w:val="006A385A"/>
    <w:rPr>
      <w:rFonts w:asciiTheme="majorHAnsi" w:eastAsiaTheme="majorEastAsia" w:hAnsiTheme="majorHAnsi" w:cs="Times New Roman"/>
      <w:color w:val="243F60" w:themeColor="accent1" w:themeShade="7F"/>
    </w:rPr>
  </w:style>
  <w:style w:type="paragraph" w:styleId="Kopfzeile">
    <w:name w:val="header"/>
    <w:basedOn w:val="Standard"/>
    <w:link w:val="KopfzeileZchn"/>
    <w:uiPriority w:val="99"/>
    <w:unhideWhenUsed/>
    <w:rsid w:val="00B2150E"/>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locked/>
    <w:rsid w:val="00B2150E"/>
    <w:rPr>
      <w:rFonts w:cs="Times New Roman"/>
    </w:rPr>
  </w:style>
  <w:style w:type="paragraph" w:styleId="Fuzeile">
    <w:name w:val="footer"/>
    <w:basedOn w:val="Standard"/>
    <w:link w:val="FuzeileZchn"/>
    <w:uiPriority w:val="99"/>
    <w:unhideWhenUsed/>
    <w:rsid w:val="00B2150E"/>
    <w:pPr>
      <w:tabs>
        <w:tab w:val="center" w:pos="4536"/>
        <w:tab w:val="right" w:pos="9072"/>
      </w:tabs>
      <w:spacing w:after="0" w:line="240" w:lineRule="auto"/>
    </w:pPr>
  </w:style>
  <w:style w:type="character" w:customStyle="1" w:styleId="FuzeileZchn">
    <w:name w:val="Fußzeile Zchn"/>
    <w:basedOn w:val="Absatz-Standardschriftart"/>
    <w:link w:val="Fuzeile"/>
    <w:uiPriority w:val="99"/>
    <w:locked/>
    <w:rsid w:val="00B2150E"/>
    <w:rPr>
      <w:rFonts w:cs="Times New Roman"/>
    </w:rPr>
  </w:style>
  <w:style w:type="paragraph" w:styleId="Sprechblasentext">
    <w:name w:val="Balloon Text"/>
    <w:basedOn w:val="Standard"/>
    <w:link w:val="SprechblasentextZchn"/>
    <w:uiPriority w:val="99"/>
    <w:semiHidden/>
    <w:unhideWhenUsed/>
    <w:rsid w:val="00B2150E"/>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locked/>
    <w:rsid w:val="00B2150E"/>
    <w:rPr>
      <w:rFonts w:ascii="Tahoma" w:hAnsi="Tahoma" w:cs="Tahoma"/>
      <w:sz w:val="16"/>
      <w:szCs w:val="16"/>
    </w:rPr>
  </w:style>
  <w:style w:type="paragraph" w:styleId="KeinLeerraum">
    <w:name w:val="No Spacing"/>
    <w:uiPriority w:val="1"/>
    <w:qFormat/>
    <w:rsid w:val="0023011E"/>
    <w:pPr>
      <w:spacing w:after="0" w:line="240" w:lineRule="auto"/>
    </w:pPr>
    <w:rPr>
      <w:rFonts w:cs="Times New Roman"/>
    </w:rPr>
  </w:style>
  <w:style w:type="paragraph" w:customStyle="1" w:styleId="A-Dachzeile">
    <w:name w:val="A-Dachzeile"/>
    <w:basedOn w:val="Standard"/>
    <w:rsid w:val="00E33B46"/>
    <w:pPr>
      <w:pBdr>
        <w:bottom w:val="single" w:sz="2" w:space="0" w:color="auto"/>
        <w:between w:val="single" w:sz="2" w:space="0" w:color="auto"/>
      </w:pBdr>
      <w:autoSpaceDE w:val="0"/>
      <w:autoSpaceDN w:val="0"/>
      <w:adjustRightInd w:val="0"/>
      <w:spacing w:after="0" w:line="288" w:lineRule="atLeast"/>
      <w:outlineLvl w:val="0"/>
    </w:pPr>
    <w:rPr>
      <w:rFonts w:ascii="Arial" w:hAnsi="Arial"/>
      <w:sz w:val="21"/>
      <w:szCs w:val="23"/>
      <w:lang w:eastAsia="de-DE"/>
    </w:rPr>
  </w:style>
  <w:style w:type="paragraph" w:customStyle="1" w:styleId="A-berschriftgro">
    <w:name w:val="A-Überschrift groß"/>
    <w:basedOn w:val="Standard"/>
    <w:rsid w:val="00A033C2"/>
    <w:pPr>
      <w:autoSpaceDE w:val="0"/>
      <w:autoSpaceDN w:val="0"/>
      <w:adjustRightInd w:val="0"/>
      <w:spacing w:before="74" w:after="85" w:line="420" w:lineRule="atLeast"/>
      <w:outlineLvl w:val="0"/>
    </w:pPr>
    <w:rPr>
      <w:rFonts w:ascii="DIN Offc Pro" w:hAnsi="DIN Offc Pro" w:cs="DIN Offc Pro"/>
      <w:b/>
      <w:bCs/>
      <w:sz w:val="36"/>
      <w:szCs w:val="36"/>
      <w:lang w:eastAsia="de-DE"/>
    </w:rPr>
  </w:style>
  <w:style w:type="paragraph" w:customStyle="1" w:styleId="A-berschriftklein">
    <w:name w:val="A-Überschrift klein"/>
    <w:basedOn w:val="Standard"/>
    <w:rsid w:val="00901837"/>
    <w:pPr>
      <w:autoSpaceDE w:val="0"/>
      <w:autoSpaceDN w:val="0"/>
      <w:adjustRightInd w:val="0"/>
      <w:spacing w:after="0" w:line="260" w:lineRule="atLeast"/>
    </w:pPr>
    <w:rPr>
      <w:rFonts w:ascii="Arial" w:hAnsi="Arial" w:cs="Arial"/>
      <w:b/>
      <w:bCs/>
      <w:szCs w:val="24"/>
      <w:lang w:eastAsia="de-DE"/>
    </w:rPr>
  </w:style>
  <w:style w:type="paragraph" w:customStyle="1" w:styleId="A-Grundtext">
    <w:name w:val="A-Grundtext"/>
    <w:basedOn w:val="Standard"/>
    <w:rsid w:val="00A033C2"/>
    <w:pPr>
      <w:tabs>
        <w:tab w:val="right" w:pos="6293"/>
      </w:tabs>
      <w:autoSpaceDE w:val="0"/>
      <w:autoSpaceDN w:val="0"/>
      <w:adjustRightInd w:val="0"/>
      <w:spacing w:after="0" w:line="260" w:lineRule="atLeast"/>
    </w:pPr>
    <w:rPr>
      <w:rFonts w:ascii="Arial" w:hAnsi="Arial" w:cs="Arial"/>
      <w:sz w:val="21"/>
      <w:lang w:eastAsia="de-DE"/>
    </w:rPr>
  </w:style>
  <w:style w:type="paragraph" w:customStyle="1" w:styleId="A-AufzhlungTab">
    <w:name w:val="A-AufzählungTab"/>
    <w:basedOn w:val="A-Grundtext"/>
    <w:rsid w:val="00901837"/>
    <w:pPr>
      <w:tabs>
        <w:tab w:val="left" w:pos="360"/>
      </w:tabs>
      <w:ind w:left="360" w:hanging="360"/>
    </w:pPr>
  </w:style>
  <w:style w:type="character" w:customStyle="1" w:styleId="fett">
    <w:name w:val="fett"/>
    <w:rsid w:val="00901837"/>
    <w:rPr>
      <w:b/>
    </w:rPr>
  </w:style>
  <w:style w:type="paragraph" w:customStyle="1" w:styleId="A-AufzhlungPunkt">
    <w:name w:val="A-Aufzählung Punkt"/>
    <w:basedOn w:val="A-Grundtext"/>
    <w:next w:val="A-Grundtext"/>
    <w:rsid w:val="00901837"/>
    <w:pPr>
      <w:numPr>
        <w:numId w:val="3"/>
      </w:numPr>
      <w:tabs>
        <w:tab w:val="clear" w:pos="6293"/>
      </w:tabs>
    </w:pPr>
  </w:style>
  <w:style w:type="character" w:styleId="Hyperlink">
    <w:name w:val="Hyperlink"/>
    <w:basedOn w:val="Absatz-Standardschriftart"/>
    <w:uiPriority w:val="99"/>
    <w:unhideWhenUsed/>
    <w:rsid w:val="000B07BE"/>
    <w:rPr>
      <w:rFonts w:cs="Times New Roman"/>
      <w:color w:val="0000FF" w:themeColor="hyperlink"/>
      <w:u w:val="single"/>
    </w:rPr>
  </w:style>
  <w:style w:type="table" w:styleId="Tabellenraster">
    <w:name w:val="Table Grid"/>
    <w:basedOn w:val="NormaleTabelle"/>
    <w:uiPriority w:val="59"/>
    <w:rsid w:val="000B07BE"/>
    <w:pPr>
      <w:spacing w:after="0" w:line="240" w:lineRule="auto"/>
    </w:pPr>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D5063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871162">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kontakt@iww.de"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677</Words>
  <Characters>5024</Characters>
  <Application>Microsoft Office Word</Application>
  <DocSecurity>0</DocSecurity>
  <Lines>109</Lines>
  <Paragraphs>30</Paragraphs>
  <ScaleCrop>false</ScaleCrop>
  <Company>Vogel Business Media</Company>
  <LinksUpToDate>false</LinksUpToDate>
  <CharactersWithSpaces>5671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Kocker, Svenja</dc:creator>
  <cp:keywords/>
  <dc:description/>
  <cp:lastModifiedBy>Lemberg, Stefan (IWW Institut)</cp:lastModifiedBy>
  <cp:revision>6</cp:revision>
  <cp:lastPrinted>2017-05-12T08:38:00Z</cp:lastPrinted>
  <dcterms:created xsi:type="dcterms:W3CDTF">2022-08-04T11:26:00Z</dcterms:created>
  <dcterms:modified xsi:type="dcterms:W3CDTF">2023-03-02T11:32:00Z</dcterms:modified>
</cp:coreProperties>
</file>